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F0F" w:rsidRPr="002C1F0F" w:rsidRDefault="002C1F0F" w:rsidP="002C1F0F">
      <w:pPr>
        <w:spacing w:after="0" w:line="240" w:lineRule="auto"/>
        <w:jc w:val="center"/>
        <w:rPr>
          <w:rFonts w:ascii="Times New Roman" w:hAnsi="Times New Roman" w:cs="Times New Roman"/>
          <w:b/>
          <w:sz w:val="28"/>
          <w:szCs w:val="28"/>
        </w:rPr>
      </w:pPr>
      <w:r w:rsidRPr="002C1F0F">
        <w:rPr>
          <w:rFonts w:ascii="Times New Roman" w:hAnsi="Times New Roman" w:cs="Times New Roman"/>
          <w:b/>
          <w:sz w:val="28"/>
          <w:szCs w:val="28"/>
        </w:rPr>
        <w:t>Saistošie ES tiesību akti</w:t>
      </w:r>
    </w:p>
    <w:p w:rsidR="002C1F0F" w:rsidRPr="002C1F0F" w:rsidRDefault="002C1F0F" w:rsidP="002C1F0F">
      <w:pPr>
        <w:spacing w:after="0" w:line="240" w:lineRule="auto"/>
        <w:jc w:val="both"/>
        <w:rPr>
          <w:rFonts w:ascii="Times New Roman" w:hAnsi="Times New Roman" w:cs="Times New Roman"/>
          <w:b/>
          <w:sz w:val="24"/>
          <w:szCs w:val="24"/>
        </w:rPr>
      </w:pPr>
    </w:p>
    <w:p w:rsidR="002C1F0F" w:rsidRDefault="002C1F0F" w:rsidP="002C1F0F">
      <w:pPr>
        <w:pStyle w:val="ListParagraph"/>
        <w:numPr>
          <w:ilvl w:val="0"/>
          <w:numId w:val="1"/>
        </w:numPr>
        <w:spacing w:after="0" w:line="240" w:lineRule="auto"/>
        <w:jc w:val="both"/>
        <w:rPr>
          <w:rFonts w:ascii="Times New Roman" w:hAnsi="Times New Roman" w:cs="Times New Roman"/>
          <w:sz w:val="24"/>
          <w:szCs w:val="24"/>
        </w:rPr>
      </w:pPr>
      <w:r w:rsidRPr="002C1F0F">
        <w:rPr>
          <w:rFonts w:ascii="Times New Roman" w:hAnsi="Times New Roman" w:cs="Times New Roman"/>
          <w:sz w:val="24"/>
          <w:szCs w:val="24"/>
        </w:rPr>
        <w:t xml:space="preserve">Eiropas Parlamenta un Padomes 2013.gada 12.jūnija </w:t>
      </w:r>
      <w:r w:rsidRPr="002C1F0F">
        <w:rPr>
          <w:rFonts w:ascii="Times New Roman" w:hAnsi="Times New Roman" w:cs="Times New Roman"/>
          <w:b/>
          <w:sz w:val="24"/>
          <w:szCs w:val="24"/>
        </w:rPr>
        <w:t>Regula (ES) Nr.576/2013</w:t>
      </w:r>
      <w:r w:rsidRPr="002C1F0F">
        <w:rPr>
          <w:rFonts w:ascii="Times New Roman" w:hAnsi="Times New Roman" w:cs="Times New Roman"/>
          <w:sz w:val="24"/>
          <w:szCs w:val="24"/>
        </w:rPr>
        <w:t xml:space="preserve"> par lolojumdzīvnieku nekomerciālu pārvietošanu un par Regulas (EK) Nr.998/2003 atcelšanu. </w:t>
      </w:r>
    </w:p>
    <w:p w:rsidR="002C1F0F" w:rsidRPr="002C1F0F" w:rsidRDefault="002C1F0F" w:rsidP="002C1F0F">
      <w:pPr>
        <w:pStyle w:val="ListParagraph"/>
        <w:spacing w:after="0" w:line="240" w:lineRule="auto"/>
        <w:jc w:val="both"/>
        <w:rPr>
          <w:rFonts w:ascii="Times New Roman" w:hAnsi="Times New Roman" w:cs="Times New Roman"/>
          <w:sz w:val="24"/>
          <w:szCs w:val="24"/>
        </w:rPr>
      </w:pPr>
    </w:p>
    <w:p w:rsidR="002C1F0F" w:rsidRDefault="002C1F0F" w:rsidP="002C1F0F">
      <w:pPr>
        <w:pStyle w:val="ListParagraph"/>
        <w:numPr>
          <w:ilvl w:val="0"/>
          <w:numId w:val="1"/>
        </w:numPr>
        <w:spacing w:after="0" w:line="240" w:lineRule="auto"/>
        <w:jc w:val="both"/>
        <w:rPr>
          <w:rFonts w:ascii="Times New Roman" w:hAnsi="Times New Roman" w:cs="Times New Roman"/>
          <w:sz w:val="24"/>
          <w:szCs w:val="24"/>
        </w:rPr>
      </w:pPr>
      <w:r w:rsidRPr="002C1F0F">
        <w:rPr>
          <w:rFonts w:ascii="Times New Roman" w:hAnsi="Times New Roman" w:cs="Times New Roman"/>
          <w:sz w:val="24"/>
          <w:szCs w:val="24"/>
        </w:rPr>
        <w:t xml:space="preserve">Komisijas 2013.gada 28.jūnija Īstenošanas </w:t>
      </w:r>
      <w:r w:rsidRPr="002C1F0F">
        <w:rPr>
          <w:rFonts w:ascii="Times New Roman" w:hAnsi="Times New Roman" w:cs="Times New Roman"/>
          <w:b/>
          <w:sz w:val="24"/>
          <w:szCs w:val="24"/>
        </w:rPr>
        <w:t>Regula (ES) Nr.577/2013</w:t>
      </w:r>
      <w:r w:rsidRPr="002C1F0F">
        <w:rPr>
          <w:rFonts w:ascii="Times New Roman" w:hAnsi="Times New Roman" w:cs="Times New Roman"/>
          <w:sz w:val="24"/>
          <w:szCs w:val="24"/>
        </w:rPr>
        <w:t xml:space="preserve"> par identifikācijas dokumentu paraugiem suņu, kaķu un mājas sesku nekomerciālai pārvietošanai, teritoriju un trešo valstu saraksta izveidošanu un par deklarāciju formas, izkārtojuma un valodas prasībām atbilstoši Eiropas Parlamenta un Padomes Regulā (ES) Nr.576/2013 paredzētajiem konkrētiem nosacījumiem.</w:t>
      </w:r>
    </w:p>
    <w:p w:rsidR="002C1F0F" w:rsidRPr="002C1F0F" w:rsidRDefault="002C1F0F" w:rsidP="002C1F0F">
      <w:pPr>
        <w:spacing w:after="0" w:line="240" w:lineRule="auto"/>
        <w:jc w:val="both"/>
        <w:rPr>
          <w:rFonts w:ascii="Times New Roman" w:hAnsi="Times New Roman" w:cs="Times New Roman"/>
          <w:sz w:val="24"/>
          <w:szCs w:val="24"/>
        </w:rPr>
      </w:pPr>
    </w:p>
    <w:p w:rsidR="002C1F0F" w:rsidRPr="002C1F0F" w:rsidRDefault="002C1F0F" w:rsidP="002C1F0F">
      <w:pPr>
        <w:pStyle w:val="ListParagraph"/>
        <w:numPr>
          <w:ilvl w:val="0"/>
          <w:numId w:val="1"/>
        </w:numPr>
        <w:spacing w:after="0" w:line="240" w:lineRule="auto"/>
        <w:jc w:val="both"/>
        <w:rPr>
          <w:rFonts w:ascii="Times New Roman" w:hAnsi="Times New Roman" w:cs="Times New Roman"/>
          <w:sz w:val="24"/>
          <w:szCs w:val="24"/>
        </w:rPr>
      </w:pPr>
      <w:r w:rsidRPr="002C1F0F">
        <w:rPr>
          <w:rFonts w:ascii="Times New Roman" w:hAnsi="Times New Roman" w:cs="Times New Roman"/>
          <w:sz w:val="24"/>
          <w:szCs w:val="24"/>
        </w:rPr>
        <w:t xml:space="preserve">Komisijas Deleģēta </w:t>
      </w:r>
      <w:r w:rsidRPr="002C1F0F">
        <w:rPr>
          <w:rFonts w:ascii="Times New Roman" w:hAnsi="Times New Roman" w:cs="Times New Roman"/>
          <w:b/>
          <w:sz w:val="24"/>
          <w:szCs w:val="24"/>
        </w:rPr>
        <w:t>Regula (ES) Nr. 1152/2011</w:t>
      </w:r>
      <w:r w:rsidRPr="002C1F0F">
        <w:rPr>
          <w:rFonts w:ascii="Times New Roman" w:hAnsi="Times New Roman" w:cs="Times New Roman"/>
          <w:sz w:val="24"/>
          <w:szCs w:val="24"/>
        </w:rPr>
        <w:t xml:space="preserve"> </w:t>
      </w:r>
      <w:proofErr w:type="gramStart"/>
      <w:r w:rsidRPr="002C1F0F">
        <w:rPr>
          <w:rFonts w:ascii="Times New Roman" w:hAnsi="Times New Roman" w:cs="Times New Roman"/>
          <w:sz w:val="24"/>
          <w:szCs w:val="24"/>
        </w:rPr>
        <w:t>(</w:t>
      </w:r>
      <w:proofErr w:type="gramEnd"/>
      <w:r w:rsidRPr="002C1F0F">
        <w:rPr>
          <w:rFonts w:ascii="Times New Roman" w:hAnsi="Times New Roman" w:cs="Times New Roman"/>
          <w:sz w:val="24"/>
          <w:szCs w:val="24"/>
        </w:rPr>
        <w:t xml:space="preserve">2011.gada 14. Jūlijs), ar kuru papildina Eiropas Parlamenta un Padomes Regulu (EK) Nr. 998/2003 attiecībā uz profilaktiskiem veselības aizsardzības pasākumiem </w:t>
      </w:r>
      <w:proofErr w:type="spellStart"/>
      <w:r w:rsidRPr="002C1F0F">
        <w:rPr>
          <w:rFonts w:ascii="Times New Roman" w:hAnsi="Times New Roman" w:cs="Times New Roman"/>
          <w:i/>
          <w:sz w:val="24"/>
          <w:szCs w:val="24"/>
        </w:rPr>
        <w:t>Echinococcus</w:t>
      </w:r>
      <w:proofErr w:type="spellEnd"/>
      <w:r w:rsidRPr="002C1F0F">
        <w:rPr>
          <w:rFonts w:ascii="Times New Roman" w:hAnsi="Times New Roman" w:cs="Times New Roman"/>
          <w:i/>
          <w:sz w:val="24"/>
          <w:szCs w:val="24"/>
        </w:rPr>
        <w:t xml:space="preserve"> </w:t>
      </w:r>
      <w:proofErr w:type="spellStart"/>
      <w:r w:rsidRPr="002C1F0F">
        <w:rPr>
          <w:rFonts w:ascii="Times New Roman" w:hAnsi="Times New Roman" w:cs="Times New Roman"/>
          <w:i/>
          <w:sz w:val="24"/>
          <w:szCs w:val="24"/>
        </w:rPr>
        <w:t>multiloculari</w:t>
      </w:r>
      <w:r w:rsidRPr="002C1F0F">
        <w:rPr>
          <w:rFonts w:ascii="Times New Roman" w:hAnsi="Times New Roman" w:cs="Times New Roman"/>
          <w:sz w:val="24"/>
          <w:szCs w:val="24"/>
        </w:rPr>
        <w:t>s</w:t>
      </w:r>
      <w:proofErr w:type="spellEnd"/>
      <w:r w:rsidRPr="002C1F0F">
        <w:rPr>
          <w:rFonts w:ascii="Times New Roman" w:hAnsi="Times New Roman" w:cs="Times New Roman"/>
          <w:sz w:val="24"/>
          <w:szCs w:val="24"/>
        </w:rPr>
        <w:t xml:space="preserve"> infekcijas kontrolei suņiem.</w:t>
      </w:r>
    </w:p>
    <w:p w:rsidR="002C1F0F" w:rsidRPr="002C1F0F" w:rsidRDefault="002C1F0F" w:rsidP="002C1F0F">
      <w:pPr>
        <w:spacing w:after="0" w:line="240" w:lineRule="auto"/>
        <w:jc w:val="both"/>
        <w:rPr>
          <w:rFonts w:ascii="Times New Roman" w:hAnsi="Times New Roman" w:cs="Times New Roman"/>
          <w:b/>
          <w:sz w:val="24"/>
          <w:szCs w:val="24"/>
        </w:rPr>
      </w:pPr>
    </w:p>
    <w:p w:rsidR="002C1F0F" w:rsidRPr="002C1F0F" w:rsidRDefault="002C1F0F" w:rsidP="002C1F0F">
      <w:pPr>
        <w:spacing w:after="0" w:line="240" w:lineRule="auto"/>
        <w:jc w:val="both"/>
        <w:rPr>
          <w:rFonts w:ascii="Times New Roman" w:hAnsi="Times New Roman" w:cs="Times New Roman"/>
          <w:b/>
          <w:sz w:val="24"/>
          <w:szCs w:val="24"/>
        </w:rPr>
      </w:pPr>
      <w:r w:rsidRPr="002C1F0F">
        <w:rPr>
          <w:rFonts w:ascii="Times New Roman" w:hAnsi="Times New Roman" w:cs="Times New Roman"/>
          <w:b/>
          <w:sz w:val="24"/>
          <w:szCs w:val="24"/>
        </w:rPr>
        <w:t>Piekļuve ES tiesību aktiem:</w:t>
      </w:r>
    </w:p>
    <w:p w:rsidR="002C1F0F" w:rsidRPr="002C1F0F" w:rsidRDefault="002C1F0F" w:rsidP="002C1F0F">
      <w:pPr>
        <w:spacing w:after="0" w:line="240" w:lineRule="auto"/>
        <w:jc w:val="both"/>
        <w:rPr>
          <w:rFonts w:ascii="Times New Roman" w:hAnsi="Times New Roman" w:cs="Times New Roman"/>
          <w:sz w:val="24"/>
          <w:szCs w:val="24"/>
        </w:rPr>
      </w:pPr>
      <w:hyperlink r:id="rId6" w:history="1">
        <w:r w:rsidRPr="002C1F0F">
          <w:rPr>
            <w:rStyle w:val="Hyperlink"/>
            <w:rFonts w:ascii="Times New Roman" w:hAnsi="Times New Roman" w:cs="Times New Roman"/>
            <w:sz w:val="24"/>
            <w:szCs w:val="24"/>
          </w:rPr>
          <w:t>http://eurlex.europa.eu/search.html?or0=DTS%3D3,DTS%3D0&amp;or1=DTT%3DR&amp;DTN=0576&amp;DTA=2013&amp;qid=1424173479683&amp;CASE_LAW_SUMMARY=false&amp;DTS_DOM=ALL&amp;type=advanced&amp;SUBDOM_INIT=ALL_ALL&amp;DTS_SUBDOM=ALL_ALL</w:t>
        </w:r>
      </w:hyperlink>
    </w:p>
    <w:p w:rsidR="002111D5" w:rsidRPr="002C1F0F" w:rsidRDefault="002111D5" w:rsidP="002C1F0F">
      <w:pPr>
        <w:spacing w:after="0" w:line="240" w:lineRule="auto"/>
        <w:jc w:val="both"/>
        <w:rPr>
          <w:rFonts w:ascii="Times New Roman" w:hAnsi="Times New Roman" w:cs="Times New Roman"/>
          <w:sz w:val="24"/>
          <w:szCs w:val="24"/>
        </w:rPr>
      </w:pPr>
      <w:bookmarkStart w:id="0" w:name="_GoBack"/>
      <w:bookmarkEnd w:id="0"/>
    </w:p>
    <w:sectPr w:rsidR="002111D5" w:rsidRPr="002C1F0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71128"/>
    <w:multiLevelType w:val="hybridMultilevel"/>
    <w:tmpl w:val="9E1C28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F0F"/>
    <w:rsid w:val="002111D5"/>
    <w:rsid w:val="002C1F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F0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F0F"/>
    <w:pPr>
      <w:ind w:left="720"/>
      <w:contextualSpacing/>
    </w:pPr>
  </w:style>
  <w:style w:type="character" w:styleId="Hyperlink">
    <w:name w:val="Hyperlink"/>
    <w:basedOn w:val="DefaultParagraphFont"/>
    <w:uiPriority w:val="99"/>
    <w:unhideWhenUsed/>
    <w:rsid w:val="002C1F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F0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F0F"/>
    <w:pPr>
      <w:ind w:left="720"/>
      <w:contextualSpacing/>
    </w:pPr>
  </w:style>
  <w:style w:type="character" w:styleId="Hyperlink">
    <w:name w:val="Hyperlink"/>
    <w:basedOn w:val="DefaultParagraphFont"/>
    <w:uiPriority w:val="99"/>
    <w:unhideWhenUsed/>
    <w:rsid w:val="002C1F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urlex.europa.eu/search.html?or0=DTS%3D3,DTS%3D0&amp;or1=DTT%3DR&amp;DTN=0576&amp;DTA=2013&amp;qid=1424173479683&amp;CASE_LAW_SUMMARY=false&amp;DTS_DOM=ALL&amp;type=advanced&amp;SUBDOM_INIT=ALL_ALL&amp;DTS_SUBDOM=ALL_AL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801</Words>
  <Characters>457</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Agita Klapare</dc:creator>
  <cp:lastModifiedBy>Agita Klapare</cp:lastModifiedBy>
  <cp:revision>1</cp:revision>
  <dcterms:created xsi:type="dcterms:W3CDTF">2015-02-17T13:34:00Z</dcterms:created>
  <dcterms:modified xsi:type="dcterms:W3CDTF">2015-02-17T13:36:00Z</dcterms:modified>
</cp:coreProperties>
</file>